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CE" w:rsidRPr="00E6473F" w:rsidRDefault="009E06CE" w:rsidP="009E06CE">
      <w:pPr>
        <w:jc w:val="center"/>
        <w:rPr>
          <w:b/>
          <w:sz w:val="28"/>
          <w:szCs w:val="28"/>
        </w:rPr>
      </w:pPr>
      <w:r w:rsidRPr="00E6473F">
        <w:rPr>
          <w:b/>
          <w:sz w:val="28"/>
          <w:szCs w:val="28"/>
        </w:rPr>
        <w:t>План проведения публичных слушаний по проекту закона Республики Мордовия «О республиканском бюджете Республики Мордовия на 2023 год и на плановый период 2024 и 2025 годов»</w:t>
      </w:r>
    </w:p>
    <w:p w:rsidR="009E06CE" w:rsidRPr="00E6473F" w:rsidRDefault="009E06CE" w:rsidP="009E06CE">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007"/>
      </w:tblGrid>
      <w:tr w:rsidR="009E06CE" w:rsidRPr="00E6473F" w:rsidTr="00A2100E">
        <w:tc>
          <w:tcPr>
            <w:tcW w:w="3889" w:type="dxa"/>
            <w:shd w:val="clear" w:color="auto" w:fill="auto"/>
          </w:tcPr>
          <w:p w:rsidR="009E06CE" w:rsidRPr="00E6473F" w:rsidRDefault="009E06CE" w:rsidP="009E06CE">
            <w:pPr>
              <w:autoSpaceDE w:val="0"/>
              <w:autoSpaceDN w:val="0"/>
              <w:adjustRightInd w:val="0"/>
              <w:jc w:val="center"/>
              <w:rPr>
                <w:b/>
                <w:bCs/>
                <w:sz w:val="26"/>
                <w:szCs w:val="26"/>
              </w:rPr>
            </w:pPr>
            <w:r w:rsidRPr="00E6473F">
              <w:rPr>
                <w:b/>
                <w:bCs/>
                <w:sz w:val="26"/>
                <w:szCs w:val="26"/>
              </w:rPr>
              <w:t>Наименование мероприятия</w:t>
            </w:r>
          </w:p>
          <w:p w:rsidR="009E06CE" w:rsidRPr="00E6473F" w:rsidRDefault="009E06CE" w:rsidP="009E06CE">
            <w:pPr>
              <w:autoSpaceDE w:val="0"/>
              <w:autoSpaceDN w:val="0"/>
              <w:adjustRightInd w:val="0"/>
              <w:jc w:val="center"/>
              <w:rPr>
                <w:b/>
                <w:bCs/>
                <w:sz w:val="26"/>
                <w:szCs w:val="26"/>
              </w:rPr>
            </w:pPr>
          </w:p>
        </w:tc>
        <w:tc>
          <w:tcPr>
            <w:tcW w:w="5007" w:type="dxa"/>
            <w:shd w:val="clear" w:color="auto" w:fill="auto"/>
          </w:tcPr>
          <w:p w:rsidR="009E06CE" w:rsidRPr="00E6473F" w:rsidRDefault="009E06CE" w:rsidP="009E06CE">
            <w:pPr>
              <w:autoSpaceDE w:val="0"/>
              <w:autoSpaceDN w:val="0"/>
              <w:adjustRightInd w:val="0"/>
              <w:jc w:val="center"/>
              <w:rPr>
                <w:b/>
                <w:bCs/>
                <w:sz w:val="26"/>
                <w:szCs w:val="26"/>
              </w:rPr>
            </w:pPr>
            <w:r w:rsidRPr="00E6473F">
              <w:rPr>
                <w:b/>
                <w:bCs/>
                <w:sz w:val="26"/>
                <w:szCs w:val="26"/>
              </w:rPr>
              <w:t>Ответственный</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jc w:val="center"/>
              <w:rPr>
                <w:bCs/>
                <w:sz w:val="26"/>
                <w:szCs w:val="26"/>
              </w:rPr>
            </w:pPr>
            <w:r w:rsidRPr="00E6473F">
              <w:rPr>
                <w:bCs/>
                <w:sz w:val="26"/>
                <w:szCs w:val="26"/>
              </w:rPr>
              <w:t>1</w:t>
            </w:r>
          </w:p>
        </w:tc>
        <w:tc>
          <w:tcPr>
            <w:tcW w:w="5007" w:type="dxa"/>
            <w:shd w:val="clear" w:color="auto" w:fill="auto"/>
          </w:tcPr>
          <w:p w:rsidR="009E06CE" w:rsidRPr="00E6473F" w:rsidRDefault="009E06CE" w:rsidP="009E06CE">
            <w:pPr>
              <w:autoSpaceDE w:val="0"/>
              <w:autoSpaceDN w:val="0"/>
              <w:adjustRightInd w:val="0"/>
              <w:jc w:val="center"/>
              <w:rPr>
                <w:bCs/>
                <w:sz w:val="26"/>
                <w:szCs w:val="26"/>
              </w:rPr>
            </w:pPr>
            <w:r w:rsidRPr="00E6473F">
              <w:rPr>
                <w:bCs/>
                <w:sz w:val="26"/>
                <w:szCs w:val="26"/>
              </w:rPr>
              <w:t>2</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Открытие публичных слушаний</w:t>
            </w:r>
          </w:p>
        </w:tc>
        <w:tc>
          <w:tcPr>
            <w:tcW w:w="5007"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 xml:space="preserve">Председатель Государственного Собрания Республики Мордовия </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Доклад по теме публичных слушаний, ответы на вопросы</w:t>
            </w:r>
          </w:p>
          <w:p w:rsidR="009E06CE" w:rsidRPr="00E6473F" w:rsidRDefault="009E06CE" w:rsidP="009E06CE">
            <w:pPr>
              <w:autoSpaceDE w:val="0"/>
              <w:autoSpaceDN w:val="0"/>
              <w:adjustRightInd w:val="0"/>
              <w:rPr>
                <w:bCs/>
                <w:sz w:val="26"/>
                <w:szCs w:val="26"/>
              </w:rPr>
            </w:pPr>
          </w:p>
        </w:tc>
        <w:tc>
          <w:tcPr>
            <w:tcW w:w="5007" w:type="dxa"/>
            <w:shd w:val="clear" w:color="auto" w:fill="auto"/>
          </w:tcPr>
          <w:p w:rsidR="009E06CE" w:rsidRPr="00E6473F" w:rsidRDefault="009E06CE" w:rsidP="009E06CE">
            <w:pPr>
              <w:autoSpaceDE w:val="0"/>
              <w:autoSpaceDN w:val="0"/>
              <w:adjustRightInd w:val="0"/>
              <w:rPr>
                <w:bCs/>
                <w:sz w:val="26"/>
                <w:szCs w:val="26"/>
              </w:rPr>
            </w:pPr>
            <w:proofErr w:type="spellStart"/>
            <w:r w:rsidRPr="00E6473F">
              <w:rPr>
                <w:bCs/>
                <w:sz w:val="26"/>
                <w:szCs w:val="26"/>
              </w:rPr>
              <w:t>И.о</w:t>
            </w:r>
            <w:proofErr w:type="spellEnd"/>
            <w:r w:rsidRPr="00E6473F">
              <w:rPr>
                <w:bCs/>
                <w:sz w:val="26"/>
                <w:szCs w:val="26"/>
              </w:rPr>
              <w:t xml:space="preserve">. Министра экономики, торговли и предпринимательства Республики Мордовия </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Доклад по теме публичных слушаний, ответы на вопросы</w:t>
            </w:r>
          </w:p>
        </w:tc>
        <w:tc>
          <w:tcPr>
            <w:tcW w:w="5007"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 xml:space="preserve">Министр финансов Республики Мордовия </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Выступления участников публичных слушаний, прошедших регистрацию, ответы на вопросы</w:t>
            </w:r>
          </w:p>
        </w:tc>
        <w:tc>
          <w:tcPr>
            <w:tcW w:w="5007"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Список выступающих определяется в процессе прове</w:t>
            </w:r>
            <w:r>
              <w:rPr>
                <w:bCs/>
                <w:sz w:val="26"/>
                <w:szCs w:val="26"/>
              </w:rPr>
              <w:t>дения заочной формы публичных слушаний</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Заключительное выступление докладчика</w:t>
            </w:r>
          </w:p>
        </w:tc>
        <w:tc>
          <w:tcPr>
            <w:tcW w:w="5007"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Министра финансов Республики Мордовия</w:t>
            </w:r>
          </w:p>
        </w:tc>
      </w:tr>
      <w:tr w:rsidR="009E06CE" w:rsidRPr="00E6473F" w:rsidTr="00A2100E">
        <w:tc>
          <w:tcPr>
            <w:tcW w:w="3889"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Закрытие публичных слушаний</w:t>
            </w:r>
          </w:p>
        </w:tc>
        <w:tc>
          <w:tcPr>
            <w:tcW w:w="5007"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 xml:space="preserve">Председатель Государственного Собрания Республики Мордовия </w:t>
            </w:r>
          </w:p>
        </w:tc>
      </w:tr>
    </w:tbl>
    <w:p w:rsidR="009E06CE" w:rsidRPr="00E6473F" w:rsidRDefault="009E06CE" w:rsidP="009E06CE">
      <w:pPr>
        <w:autoSpaceDE w:val="0"/>
        <w:autoSpaceDN w:val="0"/>
        <w:adjustRightInd w:val="0"/>
        <w:jc w:val="center"/>
        <w:rPr>
          <w:b/>
          <w:bCs/>
          <w:sz w:val="28"/>
          <w:szCs w:val="28"/>
        </w:rPr>
      </w:pPr>
    </w:p>
    <w:p w:rsidR="009E06CE" w:rsidRPr="00E6473F" w:rsidRDefault="009E06CE" w:rsidP="003E62FC">
      <w:pPr>
        <w:autoSpaceDE w:val="0"/>
        <w:autoSpaceDN w:val="0"/>
        <w:adjustRightInd w:val="0"/>
        <w:jc w:val="center"/>
        <w:rPr>
          <w:b/>
          <w:bCs/>
          <w:sz w:val="28"/>
          <w:szCs w:val="28"/>
        </w:rPr>
      </w:pPr>
      <w:r w:rsidRPr="00E6473F">
        <w:rPr>
          <w:b/>
          <w:bCs/>
          <w:sz w:val="28"/>
          <w:szCs w:val="28"/>
        </w:rPr>
        <w:t>Регламент публичных слушаний по</w:t>
      </w:r>
      <w:r w:rsidRPr="00E6473F">
        <w:rPr>
          <w:b/>
          <w:sz w:val="28"/>
          <w:szCs w:val="28"/>
        </w:rPr>
        <w:t xml:space="preserve"> проекту закона Республики Мордовия «О республиканском бюджете Республики Мордовия на 2023 год и на плановый период  2024 и 2025 годов»</w:t>
      </w:r>
    </w:p>
    <w:p w:rsidR="009E06CE" w:rsidRPr="00E6473F" w:rsidRDefault="009E06CE" w:rsidP="009E06CE">
      <w:pPr>
        <w:autoSpaceDE w:val="0"/>
        <w:autoSpaceDN w:val="0"/>
        <w:adjustRightInd w:val="0"/>
        <w:jc w:val="both"/>
        <w:rPr>
          <w:sz w:val="28"/>
          <w:szCs w:val="28"/>
        </w:rPr>
      </w:pPr>
    </w:p>
    <w:p w:rsidR="009E06CE" w:rsidRPr="00E6473F" w:rsidRDefault="009E06CE" w:rsidP="00A23A6A">
      <w:pPr>
        <w:autoSpaceDE w:val="0"/>
        <w:autoSpaceDN w:val="0"/>
        <w:adjustRightInd w:val="0"/>
        <w:ind w:firstLine="708"/>
        <w:jc w:val="both"/>
        <w:rPr>
          <w:sz w:val="28"/>
          <w:szCs w:val="28"/>
        </w:rPr>
      </w:pPr>
      <w:r w:rsidRPr="00E6473F">
        <w:rPr>
          <w:sz w:val="28"/>
          <w:szCs w:val="28"/>
        </w:rPr>
        <w:t>1. Публичные слушания открываются и закрываются председательствующим. Председательствующий информирует присутствующих о теме публичных слушаний, ведет публичные слушания, следит за соблюдением регламента.</w:t>
      </w:r>
    </w:p>
    <w:p w:rsidR="009E06CE" w:rsidRDefault="009E06CE" w:rsidP="00A23A6A">
      <w:pPr>
        <w:autoSpaceDE w:val="0"/>
        <w:autoSpaceDN w:val="0"/>
        <w:adjustRightInd w:val="0"/>
        <w:ind w:firstLine="708"/>
        <w:jc w:val="both"/>
        <w:rPr>
          <w:sz w:val="28"/>
          <w:szCs w:val="28"/>
        </w:rPr>
      </w:pPr>
      <w:r w:rsidRPr="00E6473F">
        <w:rPr>
          <w:sz w:val="28"/>
          <w:szCs w:val="28"/>
        </w:rPr>
        <w:t>2. Продолжительность доклада, выступления, заключительного слова докладчика не должна превы</w:t>
      </w:r>
      <w:r>
        <w:rPr>
          <w:sz w:val="28"/>
          <w:szCs w:val="28"/>
        </w:rPr>
        <w:t>шать: 30 минут – для доклада, 10</w:t>
      </w:r>
      <w:r w:rsidRPr="00E6473F">
        <w:rPr>
          <w:sz w:val="28"/>
          <w:szCs w:val="28"/>
        </w:rPr>
        <w:t xml:space="preserve"> минут – для выступления, 10 минут – для заключительного слова. </w:t>
      </w:r>
    </w:p>
    <w:p w:rsidR="009E06CE" w:rsidRDefault="009E06CE" w:rsidP="002A2AF1">
      <w:pPr>
        <w:autoSpaceDE w:val="0"/>
        <w:autoSpaceDN w:val="0"/>
        <w:adjustRightInd w:val="0"/>
        <w:ind w:firstLine="708"/>
        <w:jc w:val="both"/>
        <w:rPr>
          <w:sz w:val="28"/>
          <w:szCs w:val="28"/>
        </w:rPr>
      </w:pPr>
      <w:bookmarkStart w:id="0" w:name="_GoBack"/>
      <w:bookmarkEnd w:id="0"/>
      <w:proofErr w:type="gramStart"/>
      <w:r w:rsidRPr="00E6473F">
        <w:rPr>
          <w:sz w:val="28"/>
          <w:szCs w:val="28"/>
        </w:rPr>
        <w:t>Выступающим</w:t>
      </w:r>
      <w:proofErr w:type="gramEnd"/>
      <w:r w:rsidRPr="00E6473F">
        <w:rPr>
          <w:sz w:val="28"/>
          <w:szCs w:val="28"/>
        </w:rPr>
        <w:t xml:space="preserve"> в прениях для вопросов и ответов на вопросы </w:t>
      </w:r>
      <w:r>
        <w:rPr>
          <w:sz w:val="28"/>
          <w:szCs w:val="28"/>
        </w:rPr>
        <w:t>предоставляется</w:t>
      </w:r>
      <w:r w:rsidRPr="00E6473F">
        <w:rPr>
          <w:sz w:val="28"/>
          <w:szCs w:val="28"/>
        </w:rPr>
        <w:t xml:space="preserve"> до 5 минут. </w:t>
      </w:r>
    </w:p>
    <w:p w:rsidR="009E06CE" w:rsidRPr="00E6473F" w:rsidRDefault="009E06CE" w:rsidP="00A23A6A">
      <w:pPr>
        <w:autoSpaceDE w:val="0"/>
        <w:autoSpaceDN w:val="0"/>
        <w:adjustRightInd w:val="0"/>
        <w:ind w:firstLine="708"/>
        <w:jc w:val="both"/>
        <w:rPr>
          <w:sz w:val="28"/>
          <w:szCs w:val="28"/>
        </w:rPr>
      </w:pPr>
      <w:r w:rsidRPr="00E6473F">
        <w:rPr>
          <w:sz w:val="28"/>
          <w:szCs w:val="28"/>
        </w:rPr>
        <w:t xml:space="preserve">Общее время, отведенное для </w:t>
      </w:r>
      <w:r>
        <w:rPr>
          <w:sz w:val="28"/>
          <w:szCs w:val="28"/>
        </w:rPr>
        <w:t>обсуждения темы публичных слушаний</w:t>
      </w:r>
      <w:r w:rsidRPr="00E6473F">
        <w:rPr>
          <w:sz w:val="28"/>
          <w:szCs w:val="28"/>
        </w:rPr>
        <w:t xml:space="preserve">, не должно превышать </w:t>
      </w:r>
      <w:r>
        <w:rPr>
          <w:sz w:val="28"/>
          <w:szCs w:val="28"/>
        </w:rPr>
        <w:t>двух</w:t>
      </w:r>
      <w:r w:rsidRPr="00E6473F">
        <w:rPr>
          <w:sz w:val="28"/>
          <w:szCs w:val="28"/>
        </w:rPr>
        <w:t xml:space="preserve"> час</w:t>
      </w:r>
      <w:r>
        <w:rPr>
          <w:sz w:val="28"/>
          <w:szCs w:val="28"/>
        </w:rPr>
        <w:t>ов</w:t>
      </w:r>
      <w:r w:rsidRPr="00E6473F">
        <w:rPr>
          <w:sz w:val="28"/>
          <w:szCs w:val="28"/>
        </w:rPr>
        <w:t xml:space="preserve">. </w:t>
      </w:r>
    </w:p>
    <w:p w:rsidR="009E06CE" w:rsidRPr="00E6473F" w:rsidRDefault="009E06CE" w:rsidP="00A23A6A">
      <w:pPr>
        <w:autoSpaceDE w:val="0"/>
        <w:autoSpaceDN w:val="0"/>
        <w:adjustRightInd w:val="0"/>
        <w:ind w:firstLine="708"/>
        <w:jc w:val="both"/>
        <w:rPr>
          <w:sz w:val="28"/>
          <w:szCs w:val="28"/>
        </w:rPr>
      </w:pPr>
      <w:r w:rsidRPr="00E6473F">
        <w:rPr>
          <w:sz w:val="28"/>
          <w:szCs w:val="28"/>
        </w:rPr>
        <w:t>3. Участник публичных слушаний заявляет о желании задать вопрос докладчику или выступающему поднятием руки после завершения доклада или выступления. После предоставления слова для вопроса участник публичных слушаний должен сообщить фамилию, имя, отчество. Если участник является должностным лицом, дополнительно необходимо назвать организацию и занимаемую должность.</w:t>
      </w:r>
    </w:p>
    <w:p w:rsidR="009E06CE" w:rsidRPr="00E6473F" w:rsidRDefault="009E06CE" w:rsidP="00A23A6A">
      <w:pPr>
        <w:autoSpaceDE w:val="0"/>
        <w:autoSpaceDN w:val="0"/>
        <w:adjustRightInd w:val="0"/>
        <w:ind w:firstLine="708"/>
        <w:jc w:val="both"/>
        <w:rPr>
          <w:sz w:val="28"/>
          <w:szCs w:val="28"/>
        </w:rPr>
      </w:pPr>
      <w:r w:rsidRPr="00E6473F">
        <w:rPr>
          <w:sz w:val="28"/>
          <w:szCs w:val="28"/>
        </w:rPr>
        <w:t xml:space="preserve">4. Все лица, участвующие в публичных слушаниях, выступают только с разрешения председательствующего. Участники публичных слушаний </w:t>
      </w:r>
      <w:r w:rsidRPr="00E6473F">
        <w:rPr>
          <w:sz w:val="28"/>
          <w:szCs w:val="28"/>
        </w:rPr>
        <w:lastRenderedPageBreak/>
        <w:t>обязаны соблюдать порядок и регламент на заседании и при их нарушении могут быть удалены председательствующим из зала заседания.</w:t>
      </w:r>
    </w:p>
    <w:p w:rsidR="009E06CE" w:rsidRPr="00E6473F" w:rsidRDefault="009E06CE" w:rsidP="009E06CE">
      <w:pPr>
        <w:widowControl w:val="0"/>
        <w:autoSpaceDE w:val="0"/>
        <w:autoSpaceDN w:val="0"/>
        <w:adjustRightInd w:val="0"/>
        <w:jc w:val="both"/>
        <w:rPr>
          <w:sz w:val="26"/>
          <w:szCs w:val="26"/>
        </w:rPr>
      </w:pPr>
    </w:p>
    <w:p w:rsidR="009E06CE" w:rsidRPr="00E6473F" w:rsidRDefault="009E06CE" w:rsidP="009E06CE">
      <w:pPr>
        <w:widowControl w:val="0"/>
        <w:autoSpaceDE w:val="0"/>
        <w:autoSpaceDN w:val="0"/>
        <w:adjustRightInd w:val="0"/>
        <w:jc w:val="both"/>
        <w:rPr>
          <w:sz w:val="26"/>
          <w:szCs w:val="26"/>
        </w:rPr>
      </w:pPr>
      <w:r w:rsidRPr="00E6473F">
        <w:rPr>
          <w:sz w:val="26"/>
          <w:szCs w:val="26"/>
        </w:rPr>
        <w:t>Контактные телефоны:</w:t>
      </w:r>
    </w:p>
    <w:tbl>
      <w:tblPr>
        <w:tblW w:w="9640" w:type="dxa"/>
        <w:tblInd w:w="-176" w:type="dxa"/>
        <w:tblLook w:val="04A0" w:firstRow="1" w:lastRow="0" w:firstColumn="1" w:lastColumn="0" w:noHBand="0" w:noVBand="1"/>
      </w:tblPr>
      <w:tblGrid>
        <w:gridCol w:w="2977"/>
        <w:gridCol w:w="5245"/>
        <w:gridCol w:w="1418"/>
      </w:tblGrid>
      <w:tr w:rsidR="009E06CE" w:rsidRPr="00E6473F" w:rsidTr="009E06CE">
        <w:tc>
          <w:tcPr>
            <w:tcW w:w="2977" w:type="dxa"/>
            <w:shd w:val="clear" w:color="auto" w:fill="auto"/>
          </w:tcPr>
          <w:p w:rsidR="009E06CE" w:rsidRPr="00E6473F" w:rsidRDefault="009E06CE" w:rsidP="009E06CE">
            <w:pPr>
              <w:autoSpaceDE w:val="0"/>
              <w:autoSpaceDN w:val="0"/>
              <w:adjustRightInd w:val="0"/>
              <w:jc w:val="both"/>
              <w:rPr>
                <w:bCs/>
                <w:sz w:val="26"/>
                <w:szCs w:val="26"/>
              </w:rPr>
            </w:pPr>
            <w:proofErr w:type="spellStart"/>
            <w:r w:rsidRPr="00E6473F">
              <w:rPr>
                <w:bCs/>
                <w:sz w:val="26"/>
                <w:szCs w:val="26"/>
              </w:rPr>
              <w:t>Еникеева</w:t>
            </w:r>
            <w:proofErr w:type="spellEnd"/>
            <w:r w:rsidRPr="00E6473F">
              <w:rPr>
                <w:bCs/>
                <w:sz w:val="26"/>
                <w:szCs w:val="26"/>
              </w:rPr>
              <w:t xml:space="preserve"> Наталья </w:t>
            </w:r>
          </w:p>
          <w:p w:rsidR="009E06CE" w:rsidRPr="00E6473F" w:rsidRDefault="009E06CE" w:rsidP="009E06CE">
            <w:pPr>
              <w:autoSpaceDE w:val="0"/>
              <w:autoSpaceDN w:val="0"/>
              <w:adjustRightInd w:val="0"/>
              <w:jc w:val="both"/>
              <w:rPr>
                <w:bCs/>
                <w:sz w:val="26"/>
                <w:szCs w:val="26"/>
              </w:rPr>
            </w:pPr>
            <w:r w:rsidRPr="00E6473F">
              <w:rPr>
                <w:bCs/>
                <w:sz w:val="26"/>
                <w:szCs w:val="26"/>
              </w:rPr>
              <w:t xml:space="preserve">Валерьевна </w:t>
            </w:r>
          </w:p>
        </w:tc>
        <w:tc>
          <w:tcPr>
            <w:tcW w:w="5245" w:type="dxa"/>
          </w:tcPr>
          <w:p w:rsidR="009E06CE" w:rsidRPr="00E6473F" w:rsidRDefault="009E06CE" w:rsidP="009E06CE">
            <w:pPr>
              <w:autoSpaceDE w:val="0"/>
              <w:autoSpaceDN w:val="0"/>
              <w:adjustRightInd w:val="0"/>
              <w:rPr>
                <w:bCs/>
                <w:sz w:val="26"/>
                <w:szCs w:val="26"/>
              </w:rPr>
            </w:pPr>
            <w:r w:rsidRPr="00E6473F">
              <w:rPr>
                <w:bCs/>
                <w:sz w:val="26"/>
                <w:szCs w:val="26"/>
              </w:rPr>
              <w:t>заведующий отделом бюджетно-финансовой и экономической политики Аппарата Государственного Собрания Республики Мордовия</w:t>
            </w:r>
          </w:p>
        </w:tc>
        <w:tc>
          <w:tcPr>
            <w:tcW w:w="1418"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32-74-44</w:t>
            </w:r>
          </w:p>
        </w:tc>
      </w:tr>
      <w:tr w:rsidR="009E06CE" w:rsidRPr="00E6473F" w:rsidTr="009E06CE">
        <w:tc>
          <w:tcPr>
            <w:tcW w:w="2977" w:type="dxa"/>
            <w:shd w:val="clear" w:color="auto" w:fill="auto"/>
          </w:tcPr>
          <w:p w:rsidR="009E06CE" w:rsidRPr="00E6473F" w:rsidRDefault="009E06CE" w:rsidP="009E06CE">
            <w:pPr>
              <w:autoSpaceDE w:val="0"/>
              <w:autoSpaceDN w:val="0"/>
              <w:adjustRightInd w:val="0"/>
              <w:rPr>
                <w:bCs/>
                <w:sz w:val="26"/>
                <w:szCs w:val="26"/>
              </w:rPr>
            </w:pPr>
            <w:proofErr w:type="spellStart"/>
            <w:r w:rsidRPr="00E6473F">
              <w:rPr>
                <w:bCs/>
                <w:sz w:val="26"/>
                <w:szCs w:val="26"/>
              </w:rPr>
              <w:t>Смольянова</w:t>
            </w:r>
            <w:proofErr w:type="spellEnd"/>
            <w:r w:rsidRPr="00E6473F">
              <w:rPr>
                <w:bCs/>
                <w:sz w:val="26"/>
                <w:szCs w:val="26"/>
              </w:rPr>
              <w:t xml:space="preserve"> Светлана Александровна</w:t>
            </w:r>
          </w:p>
        </w:tc>
        <w:tc>
          <w:tcPr>
            <w:tcW w:w="5245" w:type="dxa"/>
          </w:tcPr>
          <w:p w:rsidR="009E06CE" w:rsidRPr="00E6473F" w:rsidRDefault="009E06CE" w:rsidP="009E06CE">
            <w:pPr>
              <w:autoSpaceDE w:val="0"/>
              <w:autoSpaceDN w:val="0"/>
              <w:adjustRightInd w:val="0"/>
              <w:rPr>
                <w:bCs/>
                <w:sz w:val="26"/>
                <w:szCs w:val="26"/>
              </w:rPr>
            </w:pPr>
            <w:r w:rsidRPr="00E6473F">
              <w:rPr>
                <w:bCs/>
                <w:sz w:val="26"/>
                <w:szCs w:val="26"/>
              </w:rPr>
              <w:t xml:space="preserve">заместитель заведующего отделом </w:t>
            </w:r>
          </w:p>
        </w:tc>
        <w:tc>
          <w:tcPr>
            <w:tcW w:w="1418" w:type="dxa"/>
            <w:shd w:val="clear" w:color="auto" w:fill="auto"/>
          </w:tcPr>
          <w:p w:rsidR="009E06CE" w:rsidRPr="00E6473F" w:rsidRDefault="009E06CE" w:rsidP="009E06CE">
            <w:pPr>
              <w:autoSpaceDE w:val="0"/>
              <w:autoSpaceDN w:val="0"/>
              <w:adjustRightInd w:val="0"/>
              <w:rPr>
                <w:bCs/>
                <w:sz w:val="26"/>
                <w:szCs w:val="26"/>
              </w:rPr>
            </w:pPr>
            <w:r w:rsidRPr="00E6473F">
              <w:rPr>
                <w:bCs/>
                <w:sz w:val="26"/>
                <w:szCs w:val="26"/>
              </w:rPr>
              <w:t>47-27-82</w:t>
            </w:r>
          </w:p>
        </w:tc>
      </w:tr>
      <w:tr w:rsidR="009E06CE" w:rsidRPr="004C25F5" w:rsidTr="009E06CE">
        <w:tc>
          <w:tcPr>
            <w:tcW w:w="2977" w:type="dxa"/>
            <w:shd w:val="clear" w:color="auto" w:fill="auto"/>
          </w:tcPr>
          <w:p w:rsidR="009E06CE" w:rsidRPr="00E6473F" w:rsidRDefault="009E06CE" w:rsidP="009E06CE">
            <w:pPr>
              <w:autoSpaceDE w:val="0"/>
              <w:autoSpaceDN w:val="0"/>
              <w:adjustRightInd w:val="0"/>
              <w:rPr>
                <w:bCs/>
                <w:sz w:val="26"/>
                <w:szCs w:val="26"/>
              </w:rPr>
            </w:pPr>
            <w:proofErr w:type="spellStart"/>
            <w:r w:rsidRPr="00E6473F">
              <w:rPr>
                <w:bCs/>
                <w:sz w:val="26"/>
                <w:szCs w:val="26"/>
              </w:rPr>
              <w:t>Сподынец</w:t>
            </w:r>
            <w:proofErr w:type="spellEnd"/>
            <w:r w:rsidRPr="00E6473F">
              <w:rPr>
                <w:bCs/>
                <w:sz w:val="26"/>
                <w:szCs w:val="26"/>
              </w:rPr>
              <w:t xml:space="preserve"> Лариса</w:t>
            </w:r>
          </w:p>
          <w:p w:rsidR="009E06CE" w:rsidRPr="00E6473F" w:rsidRDefault="009E06CE" w:rsidP="009E06CE">
            <w:pPr>
              <w:autoSpaceDE w:val="0"/>
              <w:autoSpaceDN w:val="0"/>
              <w:adjustRightInd w:val="0"/>
              <w:rPr>
                <w:bCs/>
                <w:sz w:val="26"/>
                <w:szCs w:val="26"/>
              </w:rPr>
            </w:pPr>
            <w:r w:rsidRPr="00E6473F">
              <w:rPr>
                <w:bCs/>
                <w:sz w:val="26"/>
                <w:szCs w:val="26"/>
              </w:rPr>
              <w:t>Викторовна</w:t>
            </w:r>
          </w:p>
        </w:tc>
        <w:tc>
          <w:tcPr>
            <w:tcW w:w="5245" w:type="dxa"/>
          </w:tcPr>
          <w:p w:rsidR="009E06CE" w:rsidRPr="00E6473F" w:rsidRDefault="009E06CE" w:rsidP="009E06CE">
            <w:pPr>
              <w:autoSpaceDE w:val="0"/>
              <w:autoSpaceDN w:val="0"/>
              <w:adjustRightInd w:val="0"/>
              <w:rPr>
                <w:bCs/>
                <w:sz w:val="26"/>
                <w:szCs w:val="26"/>
              </w:rPr>
            </w:pPr>
            <w:r w:rsidRPr="00E6473F">
              <w:rPr>
                <w:bCs/>
                <w:sz w:val="26"/>
                <w:szCs w:val="26"/>
              </w:rPr>
              <w:t xml:space="preserve">заместитель заведующего отделом </w:t>
            </w:r>
          </w:p>
        </w:tc>
        <w:tc>
          <w:tcPr>
            <w:tcW w:w="1418" w:type="dxa"/>
            <w:shd w:val="clear" w:color="auto" w:fill="auto"/>
          </w:tcPr>
          <w:p w:rsidR="009E06CE" w:rsidRPr="004C25F5" w:rsidRDefault="009E06CE" w:rsidP="009E06CE">
            <w:pPr>
              <w:autoSpaceDE w:val="0"/>
              <w:autoSpaceDN w:val="0"/>
              <w:adjustRightInd w:val="0"/>
              <w:rPr>
                <w:bCs/>
                <w:sz w:val="26"/>
                <w:szCs w:val="26"/>
              </w:rPr>
            </w:pPr>
            <w:r w:rsidRPr="00E6473F">
              <w:rPr>
                <w:bCs/>
                <w:sz w:val="26"/>
                <w:szCs w:val="26"/>
              </w:rPr>
              <w:t>32-70-59</w:t>
            </w:r>
          </w:p>
        </w:tc>
      </w:tr>
    </w:tbl>
    <w:p w:rsidR="00A877C5" w:rsidRDefault="002A2AF1"/>
    <w:sectPr w:rsidR="00A87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E"/>
    <w:rsid w:val="002A2AF1"/>
    <w:rsid w:val="003E62FC"/>
    <w:rsid w:val="004B1B43"/>
    <w:rsid w:val="005E0D1B"/>
    <w:rsid w:val="009E06CE"/>
    <w:rsid w:val="00A2100E"/>
    <w:rsid w:val="00A23A6A"/>
    <w:rsid w:val="00CA0BC0"/>
    <w:rsid w:val="00CA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E06CE"/>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9E06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E06CE"/>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9E0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Шустина</dc:creator>
  <cp:lastModifiedBy>Тамара Шустина</cp:lastModifiedBy>
  <cp:revision>7</cp:revision>
  <dcterms:created xsi:type="dcterms:W3CDTF">2022-12-19T13:39:00Z</dcterms:created>
  <dcterms:modified xsi:type="dcterms:W3CDTF">2022-12-19T15:44:00Z</dcterms:modified>
</cp:coreProperties>
</file>